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9CABE">
      <w:pPr>
        <w:spacing w:line="560" w:lineRule="exact"/>
        <w:jc w:val="center"/>
        <w:rPr>
          <w:rFonts w:eastAsia="仿宋_GB2312"/>
          <w:sz w:val="32"/>
          <w:szCs w:val="32"/>
        </w:rPr>
      </w:pPr>
      <w:r>
        <w:rPr>
          <w:rFonts w:hint="eastAsia" w:ascii="方正小标宋_GBK" w:hAnsi="方正小标宋_GBK" w:eastAsia="方正小标宋_GBK" w:cs="方正小标宋_GBK"/>
          <w:sz w:val="40"/>
          <w:szCs w:val="40"/>
          <w:lang w:val="en-US" w:eastAsia="zh-CN"/>
        </w:rPr>
        <w:t>关于任务指挥工具的询价</w:t>
      </w:r>
      <w:r>
        <w:rPr>
          <w:rFonts w:hint="eastAsia" w:ascii="方正小标宋_GBK" w:hAnsi="方正小标宋_GBK" w:eastAsia="方正小标宋_GBK" w:cs="方正小标宋_GBK"/>
          <w:sz w:val="40"/>
          <w:szCs w:val="40"/>
        </w:rPr>
        <w:t>单</w:t>
      </w:r>
    </w:p>
    <w:p w14:paraId="6263BBD4">
      <w:pPr>
        <w:jc w:val="right"/>
        <w:rPr>
          <w:b/>
          <w:sz w:val="24"/>
        </w:rPr>
      </w:pPr>
      <w:r>
        <w:rPr>
          <w:b/>
          <w:sz w:val="24"/>
        </w:rPr>
        <w:t xml:space="preserve">  </w:t>
      </w:r>
      <w:r>
        <w:rPr>
          <w:rFonts w:hint="eastAsia"/>
          <w:b/>
          <w:sz w:val="24"/>
        </w:rPr>
        <w:t>（单位：人民币元）</w:t>
      </w:r>
    </w:p>
    <w:tbl>
      <w:tblPr>
        <w:tblStyle w:val="3"/>
        <w:tblW w:w="5000" w:type="pct"/>
        <w:jc w:val="center"/>
        <w:tblLayout w:type="autofit"/>
        <w:tblCellMar>
          <w:top w:w="0" w:type="dxa"/>
          <w:left w:w="108" w:type="dxa"/>
          <w:bottom w:w="0" w:type="dxa"/>
          <w:right w:w="108" w:type="dxa"/>
        </w:tblCellMar>
      </w:tblPr>
      <w:tblGrid>
        <w:gridCol w:w="1263"/>
        <w:gridCol w:w="6094"/>
        <w:gridCol w:w="2605"/>
      </w:tblGrid>
      <w:tr w14:paraId="3C0E1F71">
        <w:tblPrEx>
          <w:tblCellMar>
            <w:top w:w="0" w:type="dxa"/>
            <w:left w:w="108" w:type="dxa"/>
            <w:bottom w:w="0" w:type="dxa"/>
            <w:right w:w="108" w:type="dxa"/>
          </w:tblCellMar>
        </w:tblPrEx>
        <w:trPr>
          <w:trHeight w:val="432" w:hRule="atLeast"/>
          <w:jc w:val="center"/>
        </w:trPr>
        <w:tc>
          <w:tcPr>
            <w:tcW w:w="634" w:type="pct"/>
            <w:tcBorders>
              <w:top w:val="single" w:color="auto" w:sz="4" w:space="0"/>
              <w:left w:val="single" w:color="auto" w:sz="4" w:space="0"/>
              <w:bottom w:val="single" w:color="auto" w:sz="4" w:space="0"/>
              <w:right w:val="single" w:color="auto" w:sz="4" w:space="0"/>
            </w:tcBorders>
            <w:vAlign w:val="center"/>
          </w:tcPr>
          <w:p w14:paraId="2729A7EE">
            <w:pPr>
              <w:snapToGrid w:val="0"/>
              <w:jc w:val="center"/>
              <w:rPr>
                <w:rFonts w:hint="eastAsia" w:ascii="黑体" w:hAnsi="黑体" w:eastAsia="黑体"/>
              </w:rPr>
            </w:pPr>
            <w:r>
              <w:rPr>
                <w:rFonts w:hint="eastAsia" w:ascii="黑体" w:hAnsi="黑体" w:eastAsia="黑体"/>
              </w:rPr>
              <w:t>报价模块</w:t>
            </w:r>
          </w:p>
        </w:tc>
        <w:tc>
          <w:tcPr>
            <w:tcW w:w="3058" w:type="pct"/>
            <w:tcBorders>
              <w:top w:val="single" w:color="auto" w:sz="4" w:space="0"/>
              <w:left w:val="single" w:color="auto" w:sz="4" w:space="0"/>
              <w:bottom w:val="single" w:color="auto" w:sz="4" w:space="0"/>
              <w:right w:val="single" w:color="auto" w:sz="4" w:space="0"/>
            </w:tcBorders>
            <w:vAlign w:val="center"/>
          </w:tcPr>
          <w:p w14:paraId="041C2F3B">
            <w:pPr>
              <w:pStyle w:val="5"/>
              <w:snapToGrid w:val="0"/>
              <w:ind w:left="360"/>
              <w:jc w:val="center"/>
              <w:rPr>
                <w:rFonts w:hint="eastAsia" w:ascii="黑体" w:hAnsi="黑体" w:eastAsia="黑体"/>
              </w:rPr>
            </w:pPr>
            <w:r>
              <w:rPr>
                <w:rFonts w:hint="eastAsia" w:ascii="黑体" w:hAnsi="黑体" w:eastAsia="黑体"/>
              </w:rPr>
              <w:t>报价内容</w:t>
            </w:r>
          </w:p>
        </w:tc>
        <w:tc>
          <w:tcPr>
            <w:tcW w:w="1307" w:type="pct"/>
            <w:tcBorders>
              <w:top w:val="single" w:color="auto" w:sz="4" w:space="0"/>
              <w:left w:val="nil"/>
              <w:bottom w:val="single" w:color="auto" w:sz="4" w:space="0"/>
              <w:right w:val="single" w:color="auto" w:sz="4" w:space="0"/>
            </w:tcBorders>
            <w:vAlign w:val="center"/>
          </w:tcPr>
          <w:p w14:paraId="484C8EC6">
            <w:pPr>
              <w:widowControl/>
              <w:snapToGrid w:val="0"/>
              <w:spacing w:line="280" w:lineRule="exact"/>
              <w:jc w:val="center"/>
              <w:rPr>
                <w:rFonts w:hint="eastAsia" w:ascii="黑体" w:hAnsi="黑体" w:eastAsia="黑体" w:cs="宋体"/>
                <w:b/>
                <w:bCs/>
                <w:kern w:val="0"/>
                <w:szCs w:val="21"/>
              </w:rPr>
            </w:pPr>
            <w:r>
              <w:rPr>
                <w:rFonts w:hint="eastAsia" w:ascii="黑体" w:hAnsi="黑体" w:eastAsia="黑体"/>
              </w:rPr>
              <w:t>价格</w:t>
            </w:r>
          </w:p>
        </w:tc>
      </w:tr>
      <w:tr w14:paraId="6CEE769C">
        <w:tblPrEx>
          <w:tblCellMar>
            <w:top w:w="0" w:type="dxa"/>
            <w:left w:w="108" w:type="dxa"/>
            <w:bottom w:w="0" w:type="dxa"/>
            <w:right w:w="108" w:type="dxa"/>
          </w:tblCellMar>
        </w:tblPrEx>
        <w:trPr>
          <w:trHeight w:val="957" w:hRule="atLeast"/>
          <w:jc w:val="center"/>
        </w:trPr>
        <w:tc>
          <w:tcPr>
            <w:tcW w:w="634" w:type="pct"/>
            <w:tcBorders>
              <w:top w:val="single" w:color="auto" w:sz="4" w:space="0"/>
              <w:left w:val="single" w:color="auto" w:sz="4" w:space="0"/>
              <w:bottom w:val="single" w:color="auto" w:sz="4" w:space="0"/>
              <w:right w:val="single" w:color="auto" w:sz="4" w:space="0"/>
            </w:tcBorders>
            <w:vAlign w:val="center"/>
          </w:tcPr>
          <w:p w14:paraId="04D8FFE8">
            <w:pPr>
              <w:pStyle w:val="5"/>
              <w:snapToGrid w:val="0"/>
              <w:ind w:left="0" w:leftChars="0" w:firstLine="0" w:firstLineChars="0"/>
              <w:jc w:val="center"/>
              <w:rPr>
                <w:rFonts w:hint="eastAsia" w:ascii="楷体_GB2312" w:hAnsi="楷体_GB2312" w:eastAsia="楷体_GB2312" w:cs="楷体_GB2312"/>
                <w:kern w:val="2"/>
                <w:sz w:val="22"/>
                <w:szCs w:val="22"/>
                <w:lang w:val="en-US" w:eastAsia="zh-CN" w:bidi="ar-SA"/>
              </w:rPr>
            </w:pPr>
            <w:r>
              <w:rPr>
                <w:rFonts w:hint="eastAsia" w:ascii="楷体_GB2312" w:hAnsi="楷体_GB2312" w:eastAsia="楷体_GB2312" w:cs="楷体_GB2312"/>
                <w:kern w:val="2"/>
                <w:sz w:val="22"/>
                <w:szCs w:val="22"/>
                <w:lang w:val="en-US" w:eastAsia="zh-CN" w:bidi="ar-SA"/>
              </w:rPr>
              <w:t>任务指挥工具</w:t>
            </w:r>
          </w:p>
        </w:tc>
        <w:tc>
          <w:tcPr>
            <w:tcW w:w="3058" w:type="pct"/>
            <w:tcBorders>
              <w:top w:val="single" w:color="auto" w:sz="4" w:space="0"/>
              <w:left w:val="single" w:color="auto" w:sz="4" w:space="0"/>
              <w:bottom w:val="single" w:color="auto" w:sz="4" w:space="0"/>
              <w:right w:val="single" w:color="auto" w:sz="4" w:space="0"/>
            </w:tcBorders>
            <w:vAlign w:val="center"/>
          </w:tcPr>
          <w:p w14:paraId="13DE1032">
            <w:pPr>
              <w:pStyle w:val="5"/>
              <w:snapToGrid w:val="0"/>
              <w:ind w:left="0" w:leftChars="0" w:firstLine="0" w:firstLineChars="0"/>
              <w:jc w:val="left"/>
              <w:rPr>
                <w:rFonts w:hint="eastAsia" w:ascii="楷体_GB2312" w:hAnsi="楷体_GB2312" w:eastAsia="楷体_GB2312" w:cs="楷体_GB2312"/>
                <w:kern w:val="2"/>
                <w:sz w:val="22"/>
                <w:szCs w:val="22"/>
                <w:lang w:val="en-US" w:eastAsia="zh-CN" w:bidi="ar-SA"/>
              </w:rPr>
            </w:pPr>
            <w:r>
              <w:rPr>
                <w:rFonts w:hint="eastAsia" w:ascii="楷体_GB2312" w:hAnsi="楷体_GB2312" w:eastAsia="楷体_GB2312" w:cs="楷体_GB2312"/>
                <w:color w:val="000000" w:themeColor="text1"/>
                <w:kern w:val="2"/>
                <w:sz w:val="22"/>
                <w:szCs w:val="22"/>
                <w:lang w:val="en-US" w:eastAsia="zh-CN" w:bidi="ar-SA"/>
                <w14:textFill>
                  <w14:solidFill>
                    <w14:schemeClr w14:val="tx1"/>
                  </w14:solidFill>
                </w14:textFill>
              </w:rPr>
              <w:t>主要包括任务指挥工具永久使用权、完整功能安装部署及操作培训、新一代核心业务系统和新一代大信贷平台投产支持服务、工具使用答疑永久服务等。</w:t>
            </w:r>
          </w:p>
        </w:tc>
        <w:tc>
          <w:tcPr>
            <w:tcW w:w="1307" w:type="pct"/>
            <w:tcBorders>
              <w:top w:val="single" w:color="auto" w:sz="4" w:space="0"/>
              <w:left w:val="nil"/>
              <w:bottom w:val="single" w:color="auto" w:sz="4" w:space="0"/>
              <w:right w:val="single" w:color="auto" w:sz="4" w:space="0"/>
            </w:tcBorders>
            <w:vAlign w:val="center"/>
          </w:tcPr>
          <w:p w14:paraId="49200862">
            <w:pPr>
              <w:widowControl/>
              <w:snapToGrid w:val="0"/>
              <w:spacing w:line="280" w:lineRule="exact"/>
              <w:jc w:val="center"/>
              <w:rPr>
                <w:rFonts w:hint="eastAsia" w:ascii="楷体_GB2312" w:hAnsi="楷体_GB2312" w:eastAsia="楷体_GB2312" w:cs="楷体_GB2312"/>
                <w:kern w:val="0"/>
                <w:sz w:val="22"/>
                <w:szCs w:val="22"/>
                <w:lang w:val="de-DE"/>
              </w:rPr>
            </w:pPr>
          </w:p>
        </w:tc>
      </w:tr>
      <w:tr w14:paraId="2C9F9D0D">
        <w:tblPrEx>
          <w:tblCellMar>
            <w:top w:w="0" w:type="dxa"/>
            <w:left w:w="108" w:type="dxa"/>
            <w:bottom w:w="0" w:type="dxa"/>
            <w:right w:w="108" w:type="dxa"/>
          </w:tblCellMar>
        </w:tblPrEx>
        <w:trPr>
          <w:trHeight w:val="454" w:hRule="atLeast"/>
          <w:jc w:val="center"/>
        </w:trPr>
        <w:tc>
          <w:tcPr>
            <w:tcW w:w="634" w:type="pct"/>
            <w:vMerge w:val="restart"/>
            <w:tcBorders>
              <w:top w:val="single" w:color="auto" w:sz="4" w:space="0"/>
              <w:left w:val="single" w:color="auto" w:sz="4" w:space="0"/>
              <w:bottom w:val="single" w:color="auto" w:sz="4" w:space="0"/>
              <w:right w:val="single" w:color="auto" w:sz="4" w:space="0"/>
            </w:tcBorders>
            <w:vAlign w:val="center"/>
          </w:tcPr>
          <w:p w14:paraId="1C3CF7C3">
            <w:pPr>
              <w:widowControl/>
              <w:snapToGrid w:val="0"/>
              <w:spacing w:line="360" w:lineRule="auto"/>
              <w:jc w:val="center"/>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合计金额</w:t>
            </w:r>
          </w:p>
        </w:tc>
        <w:tc>
          <w:tcPr>
            <w:tcW w:w="4365" w:type="pct"/>
            <w:gridSpan w:val="2"/>
            <w:tcBorders>
              <w:top w:val="single" w:color="auto" w:sz="4" w:space="0"/>
              <w:left w:val="single" w:color="auto" w:sz="4" w:space="0"/>
              <w:bottom w:val="single" w:color="auto" w:sz="4" w:space="0"/>
              <w:right w:val="single" w:color="auto" w:sz="4" w:space="0"/>
            </w:tcBorders>
            <w:vAlign w:val="center"/>
          </w:tcPr>
          <w:p w14:paraId="69F9BB9E">
            <w:pPr>
              <w:widowControl/>
              <w:snapToGrid w:val="0"/>
              <w:spacing w:line="280" w:lineRule="exact"/>
              <w:jc w:val="left"/>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小写金额：</w:t>
            </w:r>
          </w:p>
        </w:tc>
      </w:tr>
      <w:tr w14:paraId="465B7BD4">
        <w:tblPrEx>
          <w:tblCellMar>
            <w:top w:w="0" w:type="dxa"/>
            <w:left w:w="108" w:type="dxa"/>
            <w:bottom w:w="0" w:type="dxa"/>
            <w:right w:w="108" w:type="dxa"/>
          </w:tblCellMar>
        </w:tblPrEx>
        <w:trPr>
          <w:trHeight w:val="440" w:hRule="atLeast"/>
          <w:jc w:val="center"/>
        </w:trPr>
        <w:tc>
          <w:tcPr>
            <w:tcW w:w="634" w:type="pct"/>
            <w:vMerge w:val="continue"/>
            <w:tcBorders>
              <w:top w:val="single" w:color="auto" w:sz="4" w:space="0"/>
              <w:left w:val="single" w:color="auto" w:sz="4" w:space="0"/>
              <w:bottom w:val="single" w:color="auto" w:sz="4" w:space="0"/>
              <w:right w:val="single" w:color="auto" w:sz="4" w:space="0"/>
            </w:tcBorders>
            <w:vAlign w:val="center"/>
          </w:tcPr>
          <w:p w14:paraId="0258D0D8">
            <w:pPr>
              <w:widowControl/>
              <w:snapToGrid w:val="0"/>
              <w:spacing w:line="360" w:lineRule="auto"/>
              <w:ind w:firstLine="220" w:firstLineChars="100"/>
              <w:jc w:val="left"/>
              <w:rPr>
                <w:rFonts w:hint="eastAsia" w:ascii="楷体_GB2312" w:hAnsi="楷体_GB2312" w:eastAsia="楷体_GB2312" w:cs="楷体_GB2312"/>
                <w:sz w:val="22"/>
                <w:szCs w:val="22"/>
              </w:rPr>
            </w:pPr>
          </w:p>
        </w:tc>
        <w:tc>
          <w:tcPr>
            <w:tcW w:w="4365" w:type="pct"/>
            <w:gridSpan w:val="2"/>
            <w:tcBorders>
              <w:top w:val="single" w:color="auto" w:sz="4" w:space="0"/>
              <w:left w:val="single" w:color="auto" w:sz="4" w:space="0"/>
              <w:bottom w:val="single" w:color="auto" w:sz="4" w:space="0"/>
              <w:right w:val="single" w:color="auto" w:sz="4" w:space="0"/>
            </w:tcBorders>
            <w:vAlign w:val="center"/>
          </w:tcPr>
          <w:p w14:paraId="2450AF22">
            <w:pPr>
              <w:widowControl/>
              <w:snapToGrid w:val="0"/>
              <w:spacing w:line="280" w:lineRule="exact"/>
              <w:jc w:val="left"/>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大写金额：</w:t>
            </w:r>
          </w:p>
        </w:tc>
      </w:tr>
      <w:tr w14:paraId="6B95F0A5">
        <w:tblPrEx>
          <w:tblCellMar>
            <w:top w:w="0" w:type="dxa"/>
            <w:left w:w="108" w:type="dxa"/>
            <w:bottom w:w="0" w:type="dxa"/>
            <w:right w:w="108" w:type="dxa"/>
          </w:tblCellMar>
        </w:tblPrEx>
        <w:trPr>
          <w:trHeight w:val="5816" w:hRule="atLeast"/>
          <w:jc w:val="center"/>
        </w:trPr>
        <w:tc>
          <w:tcPr>
            <w:tcW w:w="634" w:type="pct"/>
            <w:tcBorders>
              <w:top w:val="single" w:color="auto" w:sz="4" w:space="0"/>
              <w:left w:val="single" w:color="auto" w:sz="4" w:space="0"/>
              <w:bottom w:val="single" w:color="auto" w:sz="4" w:space="0"/>
              <w:right w:val="single" w:color="auto" w:sz="4" w:space="0"/>
            </w:tcBorders>
            <w:vAlign w:val="center"/>
          </w:tcPr>
          <w:p w14:paraId="3EAA41A4">
            <w:pPr>
              <w:widowControl/>
              <w:snapToGrid w:val="0"/>
              <w:spacing w:line="360" w:lineRule="auto"/>
              <w:jc w:val="center"/>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具体采购需求及服务要求</w:t>
            </w:r>
          </w:p>
        </w:tc>
        <w:tc>
          <w:tcPr>
            <w:tcW w:w="4365" w:type="pct"/>
            <w:gridSpan w:val="2"/>
            <w:tcBorders>
              <w:top w:val="single" w:color="auto" w:sz="4" w:space="0"/>
              <w:left w:val="single" w:color="auto" w:sz="4" w:space="0"/>
              <w:bottom w:val="single" w:color="auto" w:sz="4" w:space="0"/>
              <w:right w:val="single" w:color="auto" w:sz="4" w:space="0"/>
            </w:tcBorders>
            <w:vAlign w:val="center"/>
          </w:tcPr>
          <w:p w14:paraId="0688B757">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1.任</w:t>
            </w:r>
            <w:r>
              <w:rPr>
                <w:rFonts w:hint="default" w:ascii="Times New Roman" w:hAnsi="Times New Roman" w:eastAsia="楷体_GB2312" w:cs="Times New Roman"/>
                <w:sz w:val="22"/>
                <w:szCs w:val="22"/>
                <w:lang w:val="en-US" w:eastAsia="zh-CN"/>
              </w:rPr>
              <w:t>务指挥工具完整功能及永久使用权，核心功能包括但不限于：</w:t>
            </w:r>
            <w:r>
              <w:rPr>
                <w:rFonts w:hint="default" w:ascii="Times New Roman" w:hAnsi="Times New Roman" w:eastAsia="楷体_GB2312" w:cs="Times New Roman"/>
                <w:sz w:val="22"/>
                <w:szCs w:val="22"/>
                <w:lang w:val="en-US" w:eastAsia="zh-CN"/>
              </w:rPr>
              <w:br w:type="textWrapping"/>
            </w:r>
            <w:r>
              <w:rPr>
                <w:rFonts w:hint="default" w:ascii="Times New Roman" w:hAnsi="Times New Roman" w:eastAsia="楷体_GB2312" w:cs="Times New Roman"/>
                <w:sz w:val="22"/>
                <w:szCs w:val="22"/>
                <w:lang w:val="en-US" w:eastAsia="zh-CN"/>
              </w:rPr>
              <w:t>（1）多项目管理：支持多个项目并行管理，各项目可独立设置任务、人员及权限，可独立展示监控视图。</w:t>
            </w:r>
          </w:p>
          <w:p w14:paraId="17FC964D">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（2）分时计划管理：按时间维度编排任务计划，支持任务依赖设置与时序控制，精准分发任务指令及回收执行结果，支持任务超时催办和下发指令撤回，支持页面编辑和模板导入导出模式。</w:t>
            </w:r>
          </w:p>
          <w:p w14:paraId="52064D94">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kern w:val="2"/>
                <w:sz w:val="22"/>
                <w:szCs w:val="22"/>
                <w:lang w:val="en-US" w:eastAsia="zh-CN" w:bidi="ar-SA"/>
              </w:rPr>
              <w:t>（3）</w:t>
            </w:r>
            <w:r>
              <w:rPr>
                <w:rFonts w:hint="default" w:ascii="Times New Roman" w:hAnsi="Times New Roman" w:eastAsia="楷体_GB2312" w:cs="Times New Roman"/>
                <w:sz w:val="22"/>
                <w:szCs w:val="22"/>
                <w:lang w:val="en-US" w:eastAsia="zh-CN"/>
              </w:rPr>
              <w:t>常用任务管理：支持业务验证案例等投产常用任务模板批量导入导出，精准分发任务指令及回收执行结果，可查看指令执行情况。</w:t>
            </w:r>
          </w:p>
          <w:p w14:paraId="584E371C">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kern w:val="2"/>
                <w:sz w:val="22"/>
                <w:szCs w:val="22"/>
                <w:lang w:val="en-US" w:eastAsia="zh-CN" w:bidi="ar-SA"/>
              </w:rPr>
              <w:t>（4）</w:t>
            </w:r>
            <w:r>
              <w:rPr>
                <w:rFonts w:hint="default" w:ascii="Times New Roman" w:hAnsi="Times New Roman" w:eastAsia="楷体_GB2312" w:cs="Times New Roman"/>
                <w:sz w:val="22"/>
                <w:szCs w:val="22"/>
                <w:lang w:val="en-US" w:eastAsia="zh-CN"/>
              </w:rPr>
              <w:t>可视化监控大屏：实时展示任务执行进度、关键节点状态等主要信息。</w:t>
            </w:r>
          </w:p>
          <w:p w14:paraId="69E3E72A">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（5）问题管理：支持任务指令执行问题的登记和流转跟踪。</w:t>
            </w:r>
          </w:p>
          <w:p w14:paraId="60077BB5">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w:t>
            </w:r>
            <w:r>
              <w:rPr>
                <w:rFonts w:hint="eastAsia" w:eastAsia="楷体_GB2312" w:cs="Times New Roman"/>
                <w:sz w:val="22"/>
                <w:szCs w:val="22"/>
                <w:lang w:val="en-US" w:eastAsia="zh-CN"/>
              </w:rPr>
              <w:t>6</w:t>
            </w:r>
            <w:r>
              <w:rPr>
                <w:rFonts w:hint="default" w:ascii="Times New Roman" w:hAnsi="Times New Roman" w:eastAsia="楷体_GB2312" w:cs="Times New Roman"/>
                <w:sz w:val="22"/>
                <w:szCs w:val="22"/>
                <w:lang w:val="en-US" w:eastAsia="zh-CN"/>
              </w:rPr>
              <w:t>）多终端支持：支持PC端和移动端，其中移动端须与采购人企业微信端集成。</w:t>
            </w:r>
          </w:p>
          <w:p w14:paraId="6EFA6CD2">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w:t>
            </w:r>
            <w:r>
              <w:rPr>
                <w:rFonts w:hint="eastAsia" w:eastAsia="楷体_GB2312" w:cs="Times New Roman"/>
                <w:sz w:val="22"/>
                <w:szCs w:val="22"/>
                <w:lang w:val="en-US" w:eastAsia="zh-CN"/>
              </w:rPr>
              <w:t>7</w:t>
            </w:r>
            <w:r>
              <w:rPr>
                <w:rFonts w:hint="default" w:ascii="Times New Roman" w:hAnsi="Times New Roman" w:eastAsia="楷体_GB2312" w:cs="Times New Roman"/>
                <w:sz w:val="22"/>
                <w:szCs w:val="22"/>
                <w:lang w:val="en-US" w:eastAsia="zh-CN"/>
              </w:rPr>
              <w:t>）角色权限管理：按角色配置功能与数据权限，实现分级管控。</w:t>
            </w:r>
          </w:p>
          <w:p w14:paraId="197BF21B">
            <w:pPr>
              <w:widowControl/>
              <w:numPr>
                <w:ilvl w:val="0"/>
                <w:numId w:val="0"/>
              </w:numPr>
              <w:snapToGrid w:val="0"/>
              <w:spacing w:line="280" w:lineRule="exact"/>
              <w:jc w:val="left"/>
              <w:rPr>
                <w:rFonts w:hint="default" w:ascii="Times New Roman" w:hAnsi="Times New Roman" w:eastAsia="楷体_GB2312" w:cs="Times New Roman"/>
                <w:sz w:val="22"/>
                <w:szCs w:val="22"/>
                <w:lang w:val="en-US" w:eastAsia="zh-CN"/>
              </w:rPr>
            </w:pPr>
            <w:r>
              <w:rPr>
                <w:rFonts w:hint="default" w:ascii="Times New Roman" w:hAnsi="Times New Roman" w:eastAsia="楷体_GB2312" w:cs="Times New Roman"/>
                <w:sz w:val="22"/>
                <w:szCs w:val="22"/>
                <w:lang w:val="en-US" w:eastAsia="zh-CN"/>
              </w:rPr>
              <w:t>（</w:t>
            </w:r>
            <w:r>
              <w:rPr>
                <w:rFonts w:hint="eastAsia" w:eastAsia="楷体_GB2312" w:cs="Times New Roman"/>
                <w:sz w:val="22"/>
                <w:szCs w:val="22"/>
                <w:lang w:val="en-US" w:eastAsia="zh-CN"/>
              </w:rPr>
              <w:t>8</w:t>
            </w:r>
            <w:r>
              <w:rPr>
                <w:rFonts w:hint="default" w:ascii="Times New Roman" w:hAnsi="Times New Roman" w:eastAsia="楷体_GB2312" w:cs="Times New Roman"/>
                <w:sz w:val="22"/>
                <w:szCs w:val="22"/>
                <w:lang w:val="en-US" w:eastAsia="zh-CN"/>
              </w:rPr>
              <w:t>）操作日志：操作记录留痕可追溯，可查询操作日志。</w:t>
            </w:r>
          </w:p>
          <w:p w14:paraId="48DF0CD5">
            <w:pPr>
              <w:widowControl/>
              <w:numPr>
                <w:ilvl w:val="0"/>
                <w:numId w:val="0"/>
              </w:numPr>
              <w:snapToGrid w:val="0"/>
              <w:spacing w:line="280" w:lineRule="exact"/>
              <w:ind w:leftChars="0"/>
              <w:jc w:val="left"/>
              <w:rPr>
                <w:rFonts w:hint="default" w:ascii="Times New Roman" w:hAnsi="Times New Roman" w:eastAsia="楷体_GB2312" w:cs="Times New Roman"/>
                <w:color w:val="000000" w:themeColor="text1"/>
                <w:sz w:val="22"/>
                <w:szCs w:val="22"/>
                <w:lang w:val="en-US" w:eastAsia="zh-CN"/>
                <w14:textFill>
                  <w14:solidFill>
                    <w14:schemeClr w14:val="tx1"/>
                  </w14:solidFill>
                </w14:textFill>
              </w:rPr>
            </w:pPr>
            <w:r>
              <w:rPr>
                <w:rFonts w:hint="default" w:ascii="Times New Roman" w:hAnsi="Times New Roman" w:eastAsia="楷体_GB2312" w:cs="Times New Roman"/>
                <w:color w:val="000000" w:themeColor="text1"/>
                <w:sz w:val="22"/>
                <w:szCs w:val="22"/>
                <w:lang w:val="en-US" w:eastAsia="zh-CN"/>
                <w14:textFill>
                  <w14:solidFill>
                    <w14:schemeClr w14:val="tx1"/>
                  </w14:solidFill>
                </w14:textFill>
              </w:rPr>
              <w:t>2.提供任务指挥工具配套的安装部署、操作培训、用户手册与工具使用答疑永久服务；</w:t>
            </w:r>
            <w:r>
              <w:rPr>
                <w:rFonts w:hint="eastAsia" w:eastAsia="楷体_GB2312" w:cs="Times New Roman"/>
                <w:color w:val="000000" w:themeColor="text1"/>
                <w:sz w:val="22"/>
                <w:szCs w:val="22"/>
                <w:lang w:val="en-US" w:eastAsia="zh-CN"/>
                <w14:textFill>
                  <w14:solidFill>
                    <w14:schemeClr w14:val="tx1"/>
                  </w14:solidFill>
                </w14:textFill>
              </w:rPr>
              <w:t>软件许可范围不限制用户数量及并发规模。</w:t>
            </w:r>
          </w:p>
          <w:p w14:paraId="20F81897">
            <w:pPr>
              <w:widowControl/>
              <w:numPr>
                <w:ilvl w:val="0"/>
                <w:numId w:val="0"/>
              </w:numPr>
              <w:snapToGrid w:val="0"/>
              <w:spacing w:line="280" w:lineRule="exact"/>
              <w:ind w:leftChars="0"/>
              <w:jc w:val="left"/>
              <w:rPr>
                <w:rFonts w:hint="eastAsia" w:eastAsia="楷体_GB2312" w:cs="Times New Roman"/>
                <w:color w:val="000000" w:themeColor="text1"/>
                <w:kern w:val="2"/>
                <w:sz w:val="22"/>
                <w:szCs w:val="22"/>
                <w:lang w:val="en-US" w:eastAsia="zh-CN" w:bidi="ar-SA"/>
                <w14:textFill>
                  <w14:solidFill>
                    <w14:schemeClr w14:val="tx1"/>
                  </w14:solidFill>
                </w14:textFill>
              </w:rPr>
            </w:pP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3.全程支持保障新一代核心业务系统和新一代大信贷平台投产演练及正式投产工作</w:t>
            </w:r>
            <w:r>
              <w:rPr>
                <w:rFonts w:hint="eastAsia" w:eastAsia="楷体_GB2312" w:cs="Times New Roman"/>
                <w:color w:val="000000" w:themeColor="text1"/>
                <w:kern w:val="2"/>
                <w:sz w:val="22"/>
                <w:szCs w:val="22"/>
                <w:lang w:val="en-US" w:eastAsia="zh-CN" w:bidi="ar-SA"/>
                <w14:textFill>
                  <w14:solidFill>
                    <w14:schemeClr w14:val="tx1"/>
                  </w14:solidFill>
                </w14:textFill>
              </w:rPr>
              <w:t>，在</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接到采购人通知</w:t>
            </w:r>
            <w:r>
              <w:rPr>
                <w:rFonts w:hint="eastAsia" w:eastAsia="楷体_GB2312" w:cs="Times New Roman"/>
                <w:color w:val="000000" w:themeColor="text1"/>
                <w:kern w:val="2"/>
                <w:sz w:val="22"/>
                <w:szCs w:val="22"/>
                <w:lang w:val="en-US" w:eastAsia="zh-CN" w:bidi="ar-SA"/>
                <w14:textFill>
                  <w14:solidFill>
                    <w14:schemeClr w14:val="tx1"/>
                  </w14:solidFill>
                </w14:textFill>
              </w:rPr>
              <w:t>后1</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小时内响应需求，安排专业人员</w:t>
            </w:r>
            <w:r>
              <w:rPr>
                <w:rFonts w:hint="eastAsia" w:eastAsia="楷体_GB2312" w:cs="Times New Roman"/>
                <w:color w:val="000000" w:themeColor="text1"/>
                <w:kern w:val="2"/>
                <w:sz w:val="22"/>
                <w:szCs w:val="22"/>
                <w:lang w:val="en-US" w:eastAsia="zh-CN" w:bidi="ar-SA"/>
                <w14:textFill>
                  <w14:solidFill>
                    <w14:schemeClr w14:val="tx1"/>
                  </w14:solidFill>
                </w14:textFill>
              </w:rPr>
              <w:t>通过</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现场</w:t>
            </w:r>
            <w:r>
              <w:rPr>
                <w:rFonts w:hint="eastAsia" w:eastAsia="楷体_GB2312" w:cs="Times New Roman"/>
                <w:color w:val="000000" w:themeColor="text1"/>
                <w:kern w:val="2"/>
                <w:sz w:val="22"/>
                <w:szCs w:val="22"/>
                <w:lang w:val="en-US" w:eastAsia="zh-CN" w:bidi="ar-SA"/>
                <w14:textFill>
                  <w14:solidFill>
                    <w14:schemeClr w14:val="tx1"/>
                  </w14:solidFill>
                </w14:textFill>
              </w:rPr>
              <w:t>、</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远程</w:t>
            </w:r>
            <w:r>
              <w:rPr>
                <w:rFonts w:hint="eastAsia" w:eastAsia="楷体_GB2312" w:cs="Times New Roman"/>
                <w:color w:val="000000" w:themeColor="text1"/>
                <w:kern w:val="2"/>
                <w:sz w:val="22"/>
                <w:szCs w:val="22"/>
                <w:lang w:val="en-US" w:eastAsia="zh-CN" w:bidi="ar-SA"/>
                <w14:textFill>
                  <w14:solidFill>
                    <w14:schemeClr w14:val="tx1"/>
                  </w14:solidFill>
                </w14:textFill>
              </w:rPr>
              <w:t>等方式</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提供</w:t>
            </w:r>
            <w:r>
              <w:rPr>
                <w:rFonts w:hint="eastAsia" w:eastAsia="楷体_GB2312" w:cs="Times New Roman"/>
                <w:color w:val="000000" w:themeColor="text1"/>
                <w:kern w:val="2"/>
                <w:sz w:val="22"/>
                <w:szCs w:val="22"/>
                <w:lang w:val="en-US" w:eastAsia="zh-CN" w:bidi="ar-SA"/>
                <w14:textFill>
                  <w14:solidFill>
                    <w14:schemeClr w14:val="tx1"/>
                  </w14:solidFill>
                </w14:textFill>
              </w:rPr>
              <w:t>解决方案和</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支持</w:t>
            </w:r>
            <w:r>
              <w:rPr>
                <w:rFonts w:hint="eastAsia" w:eastAsia="楷体_GB2312" w:cs="Times New Roman"/>
                <w:color w:val="000000" w:themeColor="text1"/>
                <w:kern w:val="2"/>
                <w:sz w:val="22"/>
                <w:szCs w:val="22"/>
                <w:lang w:val="en-US" w:eastAsia="zh-CN" w:bidi="ar-SA"/>
                <w14:textFill>
                  <w14:solidFill>
                    <w14:schemeClr w14:val="tx1"/>
                  </w14:solidFill>
                </w14:textFill>
              </w:rPr>
              <w:t>保障</w:t>
            </w:r>
            <w:r>
              <w:rPr>
                <w:rFonts w:hint="default" w:ascii="Times New Roman" w:hAnsi="Times New Roman" w:eastAsia="楷体_GB2312" w:cs="Times New Roman"/>
                <w:color w:val="000000" w:themeColor="text1"/>
                <w:kern w:val="2"/>
                <w:sz w:val="22"/>
                <w:szCs w:val="22"/>
                <w:lang w:val="en-US" w:eastAsia="zh-CN" w:bidi="ar-SA"/>
                <w14:textFill>
                  <w14:solidFill>
                    <w14:schemeClr w14:val="tx1"/>
                  </w14:solidFill>
                </w14:textFill>
              </w:rPr>
              <w:t>服务</w:t>
            </w:r>
            <w:r>
              <w:rPr>
                <w:rFonts w:hint="eastAsia" w:eastAsia="楷体_GB2312" w:cs="Times New Roman"/>
                <w:color w:val="000000" w:themeColor="text1"/>
                <w:kern w:val="2"/>
                <w:sz w:val="22"/>
                <w:szCs w:val="22"/>
                <w:lang w:val="en-US" w:eastAsia="zh-CN" w:bidi="ar-SA"/>
                <w14:textFill>
                  <w14:solidFill>
                    <w14:schemeClr w14:val="tx1"/>
                  </w14:solidFill>
                </w14:textFill>
              </w:rPr>
              <w:t>。</w:t>
            </w:r>
          </w:p>
          <w:p w14:paraId="24A51150">
            <w:pPr>
              <w:widowControl/>
              <w:numPr>
                <w:ilvl w:val="0"/>
                <w:numId w:val="0"/>
              </w:numPr>
              <w:snapToGrid w:val="0"/>
              <w:spacing w:line="280" w:lineRule="exact"/>
              <w:ind w:leftChars="0"/>
              <w:jc w:val="left"/>
              <w:rPr>
                <w:rFonts w:hint="eastAsia" w:ascii="楷体_GB2312" w:hAnsi="楷体_GB2312" w:eastAsia="楷体_GB2312" w:cs="楷体_GB2312"/>
                <w:sz w:val="22"/>
                <w:szCs w:val="22"/>
              </w:rPr>
            </w:pPr>
            <w:r>
              <w:rPr>
                <w:rFonts w:hint="eastAsia" w:eastAsia="楷体_GB2312" w:cs="Times New Roman"/>
                <w:color w:val="000000" w:themeColor="text1"/>
                <w:kern w:val="2"/>
                <w:sz w:val="22"/>
                <w:szCs w:val="22"/>
                <w:lang w:val="en-US" w:eastAsia="zh-CN" w:bidi="ar-SA"/>
                <w14:textFill>
                  <w14:solidFill>
                    <w14:schemeClr w14:val="tx1"/>
                  </w14:solidFill>
                </w14:textFill>
              </w:rPr>
              <w:t>4.供应商在服务期间确保任务指挥工具高可用、稳定运行，免费提供必需的版本升级、补丁更新和漏洞修复服务。</w:t>
            </w:r>
          </w:p>
        </w:tc>
      </w:tr>
      <w:tr w14:paraId="5EF322F2">
        <w:tblPrEx>
          <w:tblCellMar>
            <w:top w:w="0" w:type="dxa"/>
            <w:left w:w="108" w:type="dxa"/>
            <w:bottom w:w="0" w:type="dxa"/>
            <w:right w:w="108" w:type="dxa"/>
          </w:tblCellMar>
        </w:tblPrEx>
        <w:trPr>
          <w:trHeight w:val="2330" w:hRule="atLeast"/>
          <w:jc w:val="center"/>
        </w:trPr>
        <w:tc>
          <w:tcPr>
            <w:tcW w:w="634" w:type="pct"/>
            <w:tcBorders>
              <w:top w:val="single" w:color="auto" w:sz="4" w:space="0"/>
              <w:left w:val="single" w:color="auto" w:sz="4" w:space="0"/>
              <w:bottom w:val="single" w:color="auto" w:sz="4" w:space="0"/>
              <w:right w:val="single" w:color="auto" w:sz="4" w:space="0"/>
            </w:tcBorders>
            <w:vAlign w:val="center"/>
          </w:tcPr>
          <w:p w14:paraId="723DC7D3">
            <w:pPr>
              <w:widowControl/>
              <w:snapToGrid w:val="0"/>
              <w:spacing w:line="360" w:lineRule="auto"/>
              <w:jc w:val="center"/>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重要承诺条款</w:t>
            </w:r>
          </w:p>
        </w:tc>
        <w:tc>
          <w:tcPr>
            <w:tcW w:w="4365" w:type="pct"/>
            <w:gridSpan w:val="2"/>
            <w:tcBorders>
              <w:top w:val="single" w:color="auto" w:sz="4" w:space="0"/>
              <w:left w:val="single" w:color="auto" w:sz="4" w:space="0"/>
              <w:bottom w:val="single" w:color="auto" w:sz="4" w:space="0"/>
              <w:right w:val="single" w:color="auto" w:sz="4" w:space="0"/>
            </w:tcBorders>
            <w:vAlign w:val="center"/>
          </w:tcPr>
          <w:p w14:paraId="703F5AE4">
            <w:pPr>
              <w:widowControl/>
              <w:numPr>
                <w:ilvl w:val="0"/>
                <w:numId w:val="0"/>
              </w:numPr>
              <w:snapToGrid w:val="0"/>
              <w:spacing w:line="280" w:lineRule="exact"/>
              <w:jc w:val="left"/>
              <w:rPr>
                <w:rFonts w:hint="default" w:ascii="Times New Roman" w:hAnsi="Times New Roman" w:eastAsia="楷体_GB2312" w:cs="Times New Roman"/>
                <w:color w:val="auto"/>
                <w:kern w:val="2"/>
                <w:sz w:val="22"/>
                <w:szCs w:val="22"/>
                <w:lang w:val="en-US" w:eastAsia="zh-CN" w:bidi="ar-SA"/>
              </w:rPr>
            </w:pPr>
            <w:r>
              <w:rPr>
                <w:rFonts w:hint="default" w:ascii="Times New Roman" w:hAnsi="Times New Roman" w:eastAsia="楷体_GB2312" w:cs="Times New Roman"/>
                <w:color w:val="auto"/>
                <w:kern w:val="2"/>
                <w:sz w:val="22"/>
                <w:szCs w:val="22"/>
                <w:lang w:val="en-US" w:eastAsia="zh-CN" w:bidi="ar-SA"/>
              </w:rPr>
              <w:t>1.</w:t>
            </w:r>
            <w:r>
              <w:rPr>
                <w:rFonts w:hint="default" w:ascii="Times New Roman" w:hAnsi="Times New Roman" w:eastAsia="楷体_GB2312" w:cs="Times New Roman"/>
                <w:sz w:val="22"/>
                <w:szCs w:val="22"/>
                <w:lang w:val="en-US" w:eastAsia="zh-CN"/>
              </w:rPr>
              <w:t>供应商对本项目一次报出不得更改的价格，所报价格已包含完成本项目所需的一切费用（含税），服务期间不得以任何理由追加费用。</w:t>
            </w:r>
          </w:p>
          <w:p w14:paraId="04D4C52E">
            <w:pPr>
              <w:widowControl/>
              <w:numPr>
                <w:ilvl w:val="0"/>
                <w:numId w:val="0"/>
              </w:numPr>
              <w:snapToGrid w:val="0"/>
              <w:spacing w:line="280" w:lineRule="exact"/>
              <w:jc w:val="left"/>
              <w:rPr>
                <w:rFonts w:hint="default" w:ascii="Times New Roman" w:hAnsi="Times New Roman" w:eastAsia="楷体_GB2312" w:cs="Times New Roman"/>
                <w:color w:val="auto"/>
                <w:kern w:val="2"/>
                <w:sz w:val="22"/>
                <w:szCs w:val="22"/>
                <w:lang w:val="en-US" w:eastAsia="zh-CN" w:bidi="ar-SA"/>
              </w:rPr>
            </w:pPr>
            <w:r>
              <w:rPr>
                <w:rFonts w:hint="default" w:ascii="Times New Roman" w:hAnsi="Times New Roman" w:eastAsia="楷体_GB2312" w:cs="Times New Roman"/>
                <w:color w:val="auto"/>
                <w:kern w:val="2"/>
                <w:sz w:val="22"/>
                <w:szCs w:val="22"/>
                <w:lang w:val="en-US" w:eastAsia="zh-CN" w:bidi="ar-SA"/>
              </w:rPr>
              <w:t>2.</w:t>
            </w:r>
            <w:r>
              <w:rPr>
                <w:rFonts w:hint="eastAsia" w:ascii="Times New Roman" w:hAnsi="Times New Roman" w:eastAsia="楷体_GB2312" w:cs="Times New Roman"/>
                <w:color w:val="auto"/>
                <w:kern w:val="2"/>
                <w:sz w:val="22"/>
                <w:szCs w:val="22"/>
                <w:lang w:val="en-US" w:eastAsia="zh-CN" w:bidi="ar-SA"/>
              </w:rPr>
              <w:t>供应商提供的任务指挥工具不得捆绑、搭售或衍生绑定其他产品及服务。</w:t>
            </w:r>
          </w:p>
          <w:p w14:paraId="57184387">
            <w:pPr>
              <w:widowControl/>
              <w:numPr>
                <w:ilvl w:val="0"/>
                <w:numId w:val="0"/>
              </w:numPr>
              <w:snapToGrid w:val="0"/>
              <w:spacing w:line="280" w:lineRule="exact"/>
              <w:ind w:leftChars="0"/>
              <w:jc w:val="left"/>
              <w:rPr>
                <w:rFonts w:hint="default" w:ascii="Times New Roman" w:hAnsi="Times New Roman" w:eastAsia="楷体_GB2312" w:cs="Times New Roman"/>
                <w:color w:val="FF0000"/>
                <w:sz w:val="22"/>
                <w:szCs w:val="22"/>
                <w:lang w:val="en-US" w:eastAsia="zh-CN"/>
              </w:rPr>
            </w:pPr>
            <w:r>
              <w:rPr>
                <w:rFonts w:hint="eastAsia" w:eastAsia="楷体_GB2312" w:cs="Times New Roman"/>
                <w:sz w:val="22"/>
                <w:szCs w:val="22"/>
                <w:lang w:val="en-US" w:eastAsia="zh-CN"/>
              </w:rPr>
              <w:t>3.</w:t>
            </w:r>
            <w:r>
              <w:rPr>
                <w:rFonts w:hint="default" w:ascii="Times New Roman" w:hAnsi="Times New Roman" w:eastAsia="楷体_GB2312" w:cs="Times New Roman"/>
                <w:sz w:val="22"/>
                <w:szCs w:val="22"/>
                <w:lang w:val="en-US" w:eastAsia="zh-CN"/>
              </w:rPr>
              <w:t>供应商对其提交的</w:t>
            </w:r>
            <w:r>
              <w:rPr>
                <w:rFonts w:hint="eastAsia" w:eastAsia="楷体_GB2312" w:cs="Times New Roman"/>
                <w:sz w:val="22"/>
                <w:szCs w:val="22"/>
                <w:lang w:val="en-US" w:eastAsia="zh-CN"/>
              </w:rPr>
              <w:t>资格审查</w:t>
            </w:r>
            <w:r>
              <w:rPr>
                <w:rFonts w:hint="default" w:ascii="Times New Roman" w:hAnsi="Times New Roman" w:eastAsia="楷体_GB2312" w:cs="Times New Roman"/>
                <w:sz w:val="22"/>
                <w:szCs w:val="22"/>
                <w:lang w:val="en-US" w:eastAsia="zh-CN"/>
              </w:rPr>
              <w:t>文件的真实性、合法性和有效性承担全部责任</w:t>
            </w:r>
            <w:r>
              <w:rPr>
                <w:rFonts w:hint="eastAsia" w:eastAsia="楷体_GB2312" w:cs="Times New Roman"/>
                <w:sz w:val="22"/>
                <w:szCs w:val="22"/>
                <w:lang w:val="en-US" w:eastAsia="zh-CN"/>
              </w:rPr>
              <w:t>。经采购方评审小组审查后，</w:t>
            </w:r>
            <w:r>
              <w:rPr>
                <w:rFonts w:hint="default" w:ascii="Times New Roman" w:hAnsi="Times New Roman" w:eastAsia="楷体_GB2312" w:cs="Times New Roman"/>
                <w:sz w:val="22"/>
                <w:szCs w:val="22"/>
                <w:lang w:val="en-US" w:eastAsia="zh-CN"/>
              </w:rPr>
              <w:t>通过资格审查</w:t>
            </w:r>
            <w:r>
              <w:rPr>
                <w:rFonts w:hint="eastAsia" w:eastAsia="楷体_GB2312" w:cs="Times New Roman"/>
                <w:sz w:val="22"/>
                <w:szCs w:val="22"/>
                <w:lang w:val="en-US" w:eastAsia="zh-CN"/>
              </w:rPr>
              <w:t>、响应文件满足本项目采购需求及服务要求</w:t>
            </w:r>
            <w:r>
              <w:rPr>
                <w:rFonts w:hint="default" w:ascii="Times New Roman" w:hAnsi="Times New Roman" w:eastAsia="楷体_GB2312" w:cs="Times New Roman"/>
                <w:sz w:val="22"/>
                <w:szCs w:val="22"/>
                <w:lang w:val="en-US" w:eastAsia="zh-CN"/>
              </w:rPr>
              <w:t>且报价未超过本项目最高限价的报价为有效报价</w:t>
            </w:r>
            <w:r>
              <w:rPr>
                <w:rFonts w:hint="eastAsia" w:eastAsia="楷体_GB2312" w:cs="Times New Roman"/>
                <w:sz w:val="22"/>
                <w:szCs w:val="22"/>
                <w:lang w:val="en-US" w:eastAsia="zh-CN"/>
              </w:rPr>
              <w:t>，否则其响应作无效处理</w:t>
            </w:r>
            <w:r>
              <w:rPr>
                <w:rFonts w:hint="default" w:ascii="Times New Roman" w:hAnsi="Times New Roman" w:eastAsia="楷体_GB2312" w:cs="Times New Roman"/>
                <w:sz w:val="22"/>
                <w:szCs w:val="22"/>
                <w:lang w:val="en-US" w:eastAsia="zh-CN"/>
              </w:rPr>
              <w:t>。</w:t>
            </w:r>
            <w:r>
              <w:rPr>
                <w:rFonts w:hint="default" w:ascii="Times New Roman" w:hAnsi="Times New Roman" w:eastAsia="楷体_GB2312" w:cs="Times New Roman"/>
                <w:color w:val="000000" w:themeColor="text1"/>
                <w:sz w:val="22"/>
                <w:szCs w:val="22"/>
                <w:lang w:val="en-US" w:eastAsia="zh-CN"/>
                <w14:textFill>
                  <w14:solidFill>
                    <w14:schemeClr w14:val="tx1"/>
                  </w14:solidFill>
                </w14:textFill>
              </w:rPr>
              <w:t>如多家供应商</w:t>
            </w:r>
            <w:r>
              <w:rPr>
                <w:rFonts w:hint="eastAsia" w:eastAsia="楷体_GB2312" w:cs="Times New Roman"/>
                <w:color w:val="000000" w:themeColor="text1"/>
                <w:sz w:val="22"/>
                <w:szCs w:val="22"/>
                <w:lang w:val="en-US" w:eastAsia="zh-CN"/>
                <w14:textFill>
                  <w14:solidFill>
                    <w14:schemeClr w14:val="tx1"/>
                  </w14:solidFill>
                </w14:textFill>
              </w:rPr>
              <w:t>的</w:t>
            </w:r>
            <w:r>
              <w:rPr>
                <w:rFonts w:hint="default" w:ascii="Times New Roman" w:hAnsi="Times New Roman" w:eastAsia="楷体_GB2312" w:cs="Times New Roman"/>
                <w:color w:val="000000" w:themeColor="text1"/>
                <w:sz w:val="22"/>
                <w:szCs w:val="22"/>
                <w:lang w:val="en-US" w:eastAsia="zh-CN"/>
                <w14:textFill>
                  <w14:solidFill>
                    <w14:schemeClr w14:val="tx1"/>
                  </w14:solidFill>
                </w14:textFill>
              </w:rPr>
              <w:t>有效报价相同且均为最低报价的，则由询价评审小组综合比较服务方案等因素择优确定成交供应商；经综合比较仍无法确定的，采用随机抽取方式确定。</w:t>
            </w:r>
          </w:p>
          <w:p w14:paraId="1BFF6C8F">
            <w:pPr>
              <w:widowControl/>
              <w:numPr>
                <w:ilvl w:val="0"/>
                <w:numId w:val="0"/>
              </w:numPr>
              <w:snapToGrid w:val="0"/>
              <w:spacing w:line="280" w:lineRule="exact"/>
              <w:ind w:leftChars="0"/>
              <w:jc w:val="left"/>
              <w:rPr>
                <w:rFonts w:hint="default" w:ascii="Times New Roman" w:hAnsi="Times New Roman" w:eastAsia="楷体_GB2312" w:cs="Times New Roman"/>
                <w:sz w:val="22"/>
                <w:szCs w:val="22"/>
                <w:highlight w:val="none"/>
                <w:shd w:val="clear"/>
                <w:lang w:val="en-US" w:eastAsia="zh-CN"/>
              </w:rPr>
            </w:pPr>
            <w:r>
              <w:rPr>
                <w:rFonts w:hint="eastAsia" w:eastAsia="楷体_GB2312" w:cs="Times New Roman"/>
                <w:sz w:val="22"/>
                <w:szCs w:val="22"/>
                <w:lang w:val="en-US" w:eastAsia="zh-CN"/>
              </w:rPr>
              <w:t>4.采购方</w:t>
            </w:r>
            <w:r>
              <w:rPr>
                <w:rFonts w:hint="default" w:ascii="Times New Roman" w:hAnsi="Times New Roman" w:eastAsia="楷体_GB2312" w:cs="Times New Roman"/>
                <w:sz w:val="22"/>
                <w:szCs w:val="22"/>
                <w:lang w:val="en-US" w:eastAsia="zh-CN"/>
              </w:rPr>
              <w:t>有权对供应商报价启动异常低价响应审查程序，供应商应在</w:t>
            </w:r>
            <w:r>
              <w:rPr>
                <w:rFonts w:hint="eastAsia" w:eastAsia="楷体_GB2312" w:cs="Times New Roman"/>
                <w:sz w:val="22"/>
                <w:szCs w:val="22"/>
                <w:lang w:val="en-US" w:eastAsia="zh-CN"/>
              </w:rPr>
              <w:t>规定</w:t>
            </w:r>
            <w:r>
              <w:rPr>
                <w:rFonts w:hint="default" w:ascii="Times New Roman" w:hAnsi="Times New Roman" w:eastAsia="楷体_GB2312" w:cs="Times New Roman"/>
                <w:sz w:val="22"/>
                <w:szCs w:val="22"/>
                <w:lang w:val="en-US" w:eastAsia="zh-CN"/>
              </w:rPr>
              <w:t>时间内</w:t>
            </w:r>
            <w:r>
              <w:rPr>
                <w:rFonts w:hint="default" w:ascii="Times New Roman" w:hAnsi="Times New Roman" w:eastAsia="楷体_GB2312" w:cs="Times New Roman"/>
                <w:sz w:val="22"/>
                <w:szCs w:val="22"/>
                <w:highlight w:val="none"/>
                <w:shd w:val="clear"/>
                <w:lang w:val="en-US" w:eastAsia="zh-CN"/>
              </w:rPr>
              <w:t>提供项目报价合理性相关的书面说明，对响应价格作出解释，</w:t>
            </w:r>
            <w:r>
              <w:rPr>
                <w:rFonts w:hint="eastAsia" w:eastAsia="楷体_GB2312" w:cs="Times New Roman"/>
                <w:sz w:val="22"/>
                <w:szCs w:val="22"/>
                <w:highlight w:val="none"/>
                <w:shd w:val="clear"/>
                <w:lang w:val="en-US" w:eastAsia="zh-CN"/>
              </w:rPr>
              <w:t>采购方评审小组</w:t>
            </w:r>
            <w:r>
              <w:rPr>
                <w:rFonts w:hint="default" w:ascii="Times New Roman" w:hAnsi="Times New Roman" w:eastAsia="楷体_GB2312" w:cs="Times New Roman"/>
                <w:sz w:val="22"/>
                <w:szCs w:val="22"/>
                <w:highlight w:val="none"/>
                <w:shd w:val="clear"/>
                <w:lang w:val="en-US" w:eastAsia="zh-CN"/>
              </w:rPr>
              <w:t>依据专业经验对其报价合理性作出判断。供应商未提供书面说明或所提供的书面说明不能证明其报价合理性的，其响应作无效处理，由此产生的后果由供应商自行承担。</w:t>
            </w:r>
          </w:p>
          <w:p w14:paraId="22BF3E70">
            <w:pPr>
              <w:widowControl/>
              <w:numPr>
                <w:ilvl w:val="0"/>
                <w:numId w:val="0"/>
              </w:numPr>
              <w:snapToGrid w:val="0"/>
              <w:spacing w:line="280" w:lineRule="exact"/>
              <w:ind w:leftChars="0"/>
              <w:jc w:val="lef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5.</w:t>
            </w:r>
            <w:r>
              <w:rPr>
                <w:rFonts w:hint="default" w:ascii="Times New Roman" w:hAnsi="Times New Roman" w:eastAsia="楷体_GB2312" w:cs="Times New Roman"/>
                <w:sz w:val="22"/>
                <w:szCs w:val="22"/>
                <w:lang w:val="en-US" w:eastAsia="zh-CN"/>
              </w:rPr>
              <w:t>供应商不得干预询价过程，采购人无义务告知其询价细节及成交、未成交原因。供应商自行承担参与本次询价活动所发生的全部费用，递交的响应文件不予退还。</w:t>
            </w:r>
          </w:p>
          <w:p w14:paraId="2092766C">
            <w:pPr>
              <w:widowControl/>
              <w:numPr>
                <w:ilvl w:val="0"/>
                <w:numId w:val="0"/>
              </w:numPr>
              <w:snapToGrid w:val="0"/>
              <w:spacing w:line="280" w:lineRule="exact"/>
              <w:ind w:leftChars="0"/>
              <w:jc w:val="lef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6.</w:t>
            </w:r>
            <w:r>
              <w:rPr>
                <w:rFonts w:hint="default" w:ascii="Times New Roman" w:hAnsi="Times New Roman" w:eastAsia="楷体_GB2312" w:cs="Times New Roman"/>
                <w:sz w:val="22"/>
                <w:szCs w:val="22"/>
                <w:lang w:val="en-US" w:eastAsia="zh-CN"/>
              </w:rPr>
              <w:t>供应商对服务过程中接触或获取的保密信息（包括但不限于用户信息、业务数据、系统资料等）负有保密义务，不得以任何形式向第三方泄露或用于本项目以外的任何目的。本保密义务不因本项目结束或合同终止而免除。</w:t>
            </w:r>
          </w:p>
          <w:p w14:paraId="526F53E7">
            <w:pPr>
              <w:widowControl/>
              <w:numPr>
                <w:ilvl w:val="0"/>
                <w:numId w:val="0"/>
              </w:numPr>
              <w:snapToGrid w:val="0"/>
              <w:spacing w:line="280" w:lineRule="exact"/>
              <w:ind w:leftChars="0"/>
              <w:jc w:val="left"/>
              <w:rPr>
                <w:rFonts w:hint="default" w:ascii="Times New Roman" w:hAnsi="Times New Roman" w:eastAsia="楷体_GB2312" w:cs="Times New Roman"/>
                <w:sz w:val="22"/>
                <w:szCs w:val="22"/>
                <w:lang w:val="en-US" w:eastAsia="zh-CN"/>
              </w:rPr>
            </w:pPr>
            <w:r>
              <w:rPr>
                <w:rFonts w:hint="eastAsia" w:eastAsia="楷体_GB2312" w:cs="Times New Roman"/>
                <w:sz w:val="22"/>
                <w:szCs w:val="22"/>
                <w:lang w:val="en-US" w:eastAsia="zh-CN"/>
              </w:rPr>
              <w:t>7.如</w:t>
            </w:r>
            <w:r>
              <w:rPr>
                <w:rFonts w:hint="default" w:ascii="Times New Roman" w:hAnsi="Times New Roman" w:eastAsia="楷体_GB2312" w:cs="Times New Roman"/>
                <w:sz w:val="22"/>
                <w:szCs w:val="22"/>
                <w:lang w:val="en-US" w:eastAsia="zh-CN"/>
              </w:rPr>
              <w:t>成交供应商在合同签署时，对响应文件中的实质性条款作出重大变更或提出令采购人难以接受的附加条款，采购人有权取消其成交资格，且由该供应商承担由此引起的全部责任及损失。</w:t>
            </w:r>
          </w:p>
          <w:p w14:paraId="64149B00">
            <w:pPr>
              <w:pStyle w:val="2"/>
              <w:numPr>
                <w:ilvl w:val="0"/>
                <w:numId w:val="0"/>
              </w:numPr>
              <w:snapToGrid w:val="0"/>
              <w:ind w:leftChars="0"/>
              <w:rPr>
                <w:rFonts w:hint="default" w:ascii="Times New Roman" w:hAnsi="Times New Roman" w:eastAsia="楷体_GB2312" w:cs="Times New Roman"/>
                <w:sz w:val="22"/>
                <w:szCs w:val="22"/>
                <w:lang w:val="en-US" w:eastAsia="zh-CN"/>
              </w:rPr>
            </w:pPr>
            <w:r>
              <w:rPr>
                <w:rFonts w:hint="eastAsia" w:ascii="Times New Roman" w:eastAsia="楷体_GB2312" w:cs="Times New Roman"/>
                <w:color w:val="auto"/>
                <w:kern w:val="2"/>
                <w:sz w:val="22"/>
                <w:szCs w:val="22"/>
                <w:lang w:val="en-US" w:eastAsia="zh-CN" w:bidi="ar-SA"/>
              </w:rPr>
              <w:t>8.</w:t>
            </w:r>
            <w:r>
              <w:rPr>
                <w:rFonts w:hint="default" w:ascii="Times New Roman" w:hAnsi="Times New Roman" w:eastAsia="楷体_GB2312" w:cs="Times New Roman"/>
                <w:color w:val="auto"/>
                <w:kern w:val="2"/>
                <w:sz w:val="22"/>
                <w:szCs w:val="22"/>
                <w:lang w:val="en-US" w:eastAsia="zh-CN" w:bidi="ar-SA"/>
              </w:rPr>
              <w:t>本项目询价公告、响应文件、澄清或补充说明文件及双方合同所达成的协议等，均与合同具有同等的法律效力。</w:t>
            </w:r>
          </w:p>
          <w:p w14:paraId="04EF68D5">
            <w:pPr>
              <w:widowControl/>
              <w:numPr>
                <w:ilvl w:val="0"/>
                <w:numId w:val="0"/>
              </w:numPr>
              <w:snapToGrid w:val="0"/>
              <w:spacing w:line="280" w:lineRule="exact"/>
              <w:jc w:val="left"/>
              <w:rPr>
                <w:rFonts w:hint="eastAsia" w:ascii="楷体_GB2312" w:hAnsi="楷体_GB2312" w:eastAsia="楷体_GB2312" w:cs="楷体_GB2312"/>
                <w:sz w:val="22"/>
                <w:szCs w:val="22"/>
                <w:lang w:val="en-US" w:eastAsia="zh-CN"/>
              </w:rPr>
            </w:pPr>
            <w:r>
              <w:rPr>
                <w:rFonts w:hint="default" w:ascii="Times New Roman" w:hAnsi="Times New Roman" w:eastAsia="楷体_GB2312" w:cs="Times New Roman"/>
                <w:sz w:val="22"/>
                <w:szCs w:val="22"/>
                <w:lang w:val="en-US" w:eastAsia="zh-CN"/>
              </w:rPr>
              <w:t>供应商违反上述任一承诺的，其响应按无效处理，已成交的取消其成交资格，并承担由此产生的全部责任及损失。</w:t>
            </w:r>
          </w:p>
        </w:tc>
      </w:tr>
      <w:tr w14:paraId="4D3571B8">
        <w:tblPrEx>
          <w:tblCellMar>
            <w:top w:w="0" w:type="dxa"/>
            <w:left w:w="108" w:type="dxa"/>
            <w:bottom w:w="0" w:type="dxa"/>
            <w:right w:w="108" w:type="dxa"/>
          </w:tblCellMar>
        </w:tblPrEx>
        <w:trPr>
          <w:trHeight w:val="1352" w:hRule="atLeast"/>
          <w:jc w:val="center"/>
        </w:trPr>
        <w:tc>
          <w:tcPr>
            <w:tcW w:w="634" w:type="pct"/>
            <w:tcBorders>
              <w:top w:val="single" w:color="auto" w:sz="4" w:space="0"/>
              <w:left w:val="single" w:color="auto" w:sz="4" w:space="0"/>
              <w:bottom w:val="single" w:color="auto" w:sz="4" w:space="0"/>
              <w:right w:val="single" w:color="auto" w:sz="4" w:space="0"/>
            </w:tcBorders>
            <w:vAlign w:val="center"/>
          </w:tcPr>
          <w:p w14:paraId="30908338">
            <w:pPr>
              <w:widowControl/>
              <w:snapToGrid w:val="0"/>
              <w:spacing w:line="360" w:lineRule="auto"/>
              <w:ind w:firstLine="220" w:firstLineChars="100"/>
              <w:jc w:val="left"/>
              <w:rPr>
                <w:rFonts w:hint="eastAsia" w:ascii="楷体_GB2312" w:hAnsi="楷体_GB2312" w:eastAsia="楷体_GB2312" w:cs="楷体_GB2312"/>
                <w:sz w:val="22"/>
                <w:szCs w:val="22"/>
              </w:rPr>
            </w:pPr>
            <w:r>
              <w:rPr>
                <w:rFonts w:hint="eastAsia" w:ascii="楷体_GB2312" w:hAnsi="楷体_GB2312" w:eastAsia="楷体_GB2312" w:cs="楷体_GB2312"/>
                <w:sz w:val="22"/>
                <w:szCs w:val="22"/>
              </w:rPr>
              <w:t>备注</w:t>
            </w:r>
          </w:p>
        </w:tc>
        <w:tc>
          <w:tcPr>
            <w:tcW w:w="4365" w:type="pct"/>
            <w:gridSpan w:val="2"/>
            <w:tcBorders>
              <w:top w:val="single" w:color="auto" w:sz="4" w:space="0"/>
              <w:left w:val="single" w:color="auto" w:sz="4" w:space="0"/>
              <w:bottom w:val="single" w:color="auto" w:sz="4" w:space="0"/>
              <w:right w:val="single" w:color="auto" w:sz="4" w:space="0"/>
            </w:tcBorders>
            <w:vAlign w:val="center"/>
          </w:tcPr>
          <w:p w14:paraId="3306C500">
            <w:pPr>
              <w:widowControl/>
              <w:snapToGrid w:val="0"/>
              <w:jc w:val="both"/>
              <w:rPr>
                <w:rFonts w:hint="eastAsia" w:ascii="楷体_GB2312" w:hAnsi="楷体_GB2312" w:eastAsia="楷体_GB2312" w:cs="楷体_GB2312"/>
                <w:kern w:val="0"/>
                <w:sz w:val="22"/>
                <w:szCs w:val="22"/>
              </w:rPr>
            </w:pPr>
            <w:r>
              <w:rPr>
                <w:rFonts w:hint="eastAsia" w:ascii="楷体_GB2312" w:hAnsi="楷体_GB2312" w:eastAsia="楷体_GB2312" w:cs="楷体_GB2312"/>
                <w:sz w:val="22"/>
                <w:szCs w:val="22"/>
                <w:lang w:eastAsia="zh-CN"/>
              </w:rPr>
              <w:t>1.</w:t>
            </w:r>
            <w:r>
              <w:rPr>
                <w:rFonts w:hint="eastAsia" w:ascii="楷体_GB2312" w:hAnsi="楷体_GB2312" w:eastAsia="楷体_GB2312" w:cs="楷体_GB2312"/>
                <w:sz w:val="22"/>
                <w:szCs w:val="22"/>
                <w:lang w:val="en-US" w:eastAsia="zh-CN"/>
              </w:rPr>
              <w:t>供应商</w:t>
            </w:r>
            <w:r>
              <w:rPr>
                <w:rFonts w:hint="eastAsia" w:ascii="楷体_GB2312" w:hAnsi="楷体_GB2312" w:eastAsia="楷体_GB2312" w:cs="楷体_GB2312"/>
                <w:kern w:val="0"/>
                <w:sz w:val="22"/>
                <w:szCs w:val="22"/>
              </w:rPr>
              <w:t>须在报价表上加盖单位公章，填写唯一价格。报价表中金额大小写不一致时，以报价表中大写金额为准。</w:t>
            </w:r>
          </w:p>
          <w:p w14:paraId="3E269E34">
            <w:pPr>
              <w:widowControl/>
              <w:snapToGrid w:val="0"/>
              <w:jc w:val="both"/>
              <w:rPr>
                <w:rFonts w:hint="eastAsia" w:ascii="楷体_GB2312" w:hAnsi="楷体_GB2312" w:eastAsia="楷体_GB2312" w:cs="楷体_GB2312"/>
                <w:sz w:val="22"/>
                <w:szCs w:val="22"/>
                <w:lang w:val="en-US" w:eastAsia="zh-CN"/>
              </w:rPr>
            </w:pPr>
            <w:r>
              <w:rPr>
                <w:rFonts w:hint="eastAsia" w:ascii="楷体_GB2312" w:hAnsi="楷体_GB2312" w:eastAsia="楷体_GB2312" w:cs="楷体_GB2312"/>
                <w:sz w:val="22"/>
                <w:szCs w:val="22"/>
                <w:lang w:eastAsia="zh-CN"/>
              </w:rPr>
              <w:t>2.</w:t>
            </w:r>
            <w:r>
              <w:rPr>
                <w:rFonts w:hint="eastAsia" w:ascii="楷体_GB2312" w:hAnsi="楷体_GB2312" w:eastAsia="楷体_GB2312" w:cs="楷体_GB2312"/>
                <w:sz w:val="22"/>
                <w:szCs w:val="22"/>
                <w:lang w:val="en-US" w:eastAsia="zh-CN"/>
              </w:rPr>
              <w:t>供应商须逐条响应询价单的</w:t>
            </w:r>
            <w:r>
              <w:rPr>
                <w:rFonts w:hint="eastAsia" w:ascii="楷体_GB2312" w:hAnsi="楷体_GB2312" w:eastAsia="楷体_GB2312" w:cs="楷体_GB2312"/>
                <w:sz w:val="22"/>
                <w:szCs w:val="22"/>
              </w:rPr>
              <w:t>具体采购需求</w:t>
            </w:r>
            <w:r>
              <w:rPr>
                <w:rFonts w:hint="eastAsia" w:ascii="楷体_GB2312" w:hAnsi="楷体_GB2312" w:eastAsia="楷体_GB2312" w:cs="楷体_GB2312"/>
                <w:sz w:val="22"/>
                <w:szCs w:val="22"/>
                <w:lang w:val="en-US" w:eastAsia="zh-CN"/>
              </w:rPr>
              <w:t>及</w:t>
            </w:r>
            <w:r>
              <w:rPr>
                <w:rFonts w:hint="eastAsia" w:ascii="楷体_GB2312" w:hAnsi="楷体_GB2312" w:eastAsia="楷体_GB2312" w:cs="楷体_GB2312"/>
                <w:sz w:val="22"/>
                <w:szCs w:val="22"/>
              </w:rPr>
              <w:t>服务要求</w:t>
            </w:r>
            <w:r>
              <w:rPr>
                <w:rFonts w:hint="eastAsia" w:ascii="楷体_GB2312" w:hAnsi="楷体_GB2312" w:eastAsia="楷体_GB2312" w:cs="楷体_GB2312"/>
                <w:sz w:val="22"/>
                <w:szCs w:val="22"/>
                <w:lang w:val="en-US" w:eastAsia="zh-CN"/>
              </w:rPr>
              <w:t>与</w:t>
            </w:r>
            <w:r>
              <w:rPr>
                <w:rFonts w:hint="eastAsia" w:ascii="楷体_GB2312" w:hAnsi="楷体_GB2312" w:eastAsia="楷体_GB2312" w:cs="楷体_GB2312"/>
                <w:sz w:val="22"/>
                <w:szCs w:val="22"/>
              </w:rPr>
              <w:t>重要承诺条款</w:t>
            </w:r>
            <w:r>
              <w:rPr>
                <w:rFonts w:hint="eastAsia" w:ascii="楷体_GB2312" w:hAnsi="楷体_GB2312" w:eastAsia="楷体_GB2312" w:cs="楷体_GB2312"/>
                <w:sz w:val="22"/>
                <w:szCs w:val="22"/>
                <w:lang w:eastAsia="zh-CN"/>
              </w:rPr>
              <w:t>，</w:t>
            </w:r>
            <w:r>
              <w:rPr>
                <w:rFonts w:hint="eastAsia" w:ascii="楷体_GB2312" w:hAnsi="楷体_GB2312" w:eastAsia="楷体_GB2312" w:cs="楷体_GB2312"/>
                <w:sz w:val="22"/>
                <w:szCs w:val="22"/>
              </w:rPr>
              <w:t>可另附件。</w:t>
            </w:r>
          </w:p>
        </w:tc>
      </w:tr>
    </w:tbl>
    <w:p w14:paraId="5DE761B9">
      <w:pPr>
        <w:spacing w:line="420" w:lineRule="exact"/>
        <w:ind w:firstLine="437"/>
        <w:rPr>
          <w:sz w:val="24"/>
        </w:rPr>
      </w:pPr>
      <w:r>
        <w:rPr>
          <w:rFonts w:hint="eastAsia"/>
          <w:sz w:val="24"/>
        </w:rPr>
        <w:t>注：</w:t>
      </w:r>
    </w:p>
    <w:p w14:paraId="109CE87A">
      <w:pPr>
        <w:spacing w:line="420" w:lineRule="exact"/>
        <w:ind w:leftChars="100"/>
        <w:jc w:val="left"/>
        <w:rPr>
          <w:sz w:val="24"/>
        </w:rPr>
      </w:pPr>
      <w:r>
        <w:rPr>
          <w:rFonts w:hint="eastAsia"/>
          <w:sz w:val="24"/>
          <w:lang w:eastAsia="zh-CN"/>
        </w:rPr>
        <w:t>1.</w:t>
      </w:r>
      <w:r>
        <w:rPr>
          <w:rFonts w:hint="eastAsia"/>
          <w:sz w:val="24"/>
        </w:rPr>
        <w:t xml:space="preserve">上述产品报价均包含所有的税费；     </w:t>
      </w:r>
      <w:r>
        <w:rPr>
          <w:rFonts w:hint="eastAsia"/>
          <w:sz w:val="24"/>
          <w:lang w:val="en-US" w:eastAsia="zh-CN"/>
        </w:rPr>
        <w:t xml:space="preserve">        </w:t>
      </w:r>
      <w:r>
        <w:rPr>
          <w:sz w:val="24"/>
        </w:rPr>
        <w:t>2</w:t>
      </w:r>
      <w:r>
        <w:rPr>
          <w:rFonts w:hint="eastAsia"/>
          <w:sz w:val="24"/>
        </w:rPr>
        <w:t>.报价日期</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w:t>
      </w:r>
    </w:p>
    <w:p w14:paraId="3E9F9002">
      <w:pPr>
        <w:spacing w:line="420" w:lineRule="exact"/>
        <w:ind w:leftChars="100"/>
        <w:jc w:val="left"/>
        <w:rPr>
          <w:sz w:val="24"/>
        </w:rPr>
      </w:pPr>
      <w:r>
        <w:rPr>
          <w:rFonts w:hint="eastAsia"/>
          <w:sz w:val="24"/>
        </w:rPr>
        <w:t>3.报价有效期</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 xml:space="preserve">；  </w:t>
      </w:r>
      <w:r>
        <w:rPr>
          <w:rFonts w:hint="eastAsia"/>
          <w:sz w:val="24"/>
          <w:lang w:val="en-US" w:eastAsia="zh-CN"/>
        </w:rPr>
        <w:t xml:space="preserve"> </w:t>
      </w:r>
      <w:r>
        <w:rPr>
          <w:rFonts w:hint="eastAsia"/>
          <w:sz w:val="24"/>
        </w:rPr>
        <w:t xml:space="preserve">   </w:t>
      </w:r>
      <w:r>
        <w:rPr>
          <w:rFonts w:hint="eastAsia"/>
          <w:sz w:val="24"/>
          <w:lang w:val="en-US" w:eastAsia="zh-CN"/>
        </w:rPr>
        <w:t xml:space="preserve">        4.</w:t>
      </w:r>
      <w:r>
        <w:rPr>
          <w:rFonts w:hint="eastAsia"/>
          <w:sz w:val="24"/>
        </w:rPr>
        <w:t>其他说明</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w:t>
      </w:r>
    </w:p>
    <w:p w14:paraId="60641EA8">
      <w:pPr>
        <w:spacing w:line="520" w:lineRule="exact"/>
        <w:ind w:leftChars="100"/>
        <w:jc w:val="left"/>
        <w:rPr>
          <w:b/>
          <w:sz w:val="24"/>
        </w:rPr>
      </w:pPr>
      <w:r>
        <w:rPr>
          <w:rFonts w:hint="eastAsia"/>
          <w:b/>
          <w:sz w:val="24"/>
          <w:lang w:val="en-US" w:eastAsia="zh-CN"/>
        </w:rPr>
        <w:t>供应商</w:t>
      </w:r>
      <w:r>
        <w:rPr>
          <w:rFonts w:hint="eastAsia"/>
          <w:b/>
          <w:sz w:val="24"/>
        </w:rPr>
        <w:t xml:space="preserve">（签章）：                   </w:t>
      </w:r>
      <w:r>
        <w:rPr>
          <w:b/>
          <w:sz w:val="24"/>
        </w:rPr>
        <w:t xml:space="preserve"> </w:t>
      </w:r>
      <w:r>
        <w:rPr>
          <w:rFonts w:hint="eastAsia"/>
          <w:b/>
          <w:sz w:val="24"/>
        </w:rPr>
        <w:t xml:space="preserve">    </w:t>
      </w:r>
      <w:r>
        <w:rPr>
          <w:b/>
          <w:sz w:val="24"/>
        </w:rPr>
        <w:t xml:space="preserve"> </w:t>
      </w:r>
      <w:r>
        <w:rPr>
          <w:rFonts w:hint="eastAsia"/>
          <w:b/>
          <w:sz w:val="24"/>
        </w:rPr>
        <w:t xml:space="preserve"> </w:t>
      </w:r>
      <w:r>
        <w:rPr>
          <w:b/>
          <w:sz w:val="24"/>
        </w:rPr>
        <w:t xml:space="preserve">   </w:t>
      </w:r>
      <w:r>
        <w:rPr>
          <w:rFonts w:hint="eastAsia"/>
          <w:b/>
          <w:sz w:val="24"/>
        </w:rPr>
        <w:t>联系地址：</w:t>
      </w:r>
    </w:p>
    <w:p w14:paraId="7BF8FD80">
      <w:pPr>
        <w:spacing w:line="520" w:lineRule="exact"/>
        <w:ind w:leftChars="100"/>
        <w:jc w:val="left"/>
        <w:rPr>
          <w:rFonts w:hint="eastAsia"/>
          <w:b/>
          <w:sz w:val="24"/>
        </w:rPr>
      </w:pPr>
      <w:r>
        <w:rPr>
          <w:rFonts w:hint="eastAsia"/>
          <w:b/>
          <w:sz w:val="24"/>
        </w:rPr>
        <w:t xml:space="preserve">业务联系人：                    </w:t>
      </w:r>
      <w:r>
        <w:rPr>
          <w:b/>
          <w:sz w:val="24"/>
        </w:rPr>
        <w:t xml:space="preserve">            </w:t>
      </w:r>
      <w:r>
        <w:rPr>
          <w:rFonts w:hint="eastAsia"/>
          <w:b/>
          <w:sz w:val="24"/>
        </w:rPr>
        <w:t>身份证号：</w:t>
      </w:r>
    </w:p>
    <w:p w14:paraId="534DB95B">
      <w:pPr>
        <w:spacing w:line="520" w:lineRule="exact"/>
        <w:ind w:leftChars="100"/>
        <w:jc w:val="left"/>
        <w:rPr>
          <w:rFonts w:hint="eastAsia" w:eastAsia="宋体"/>
          <w:b/>
          <w:sz w:val="24"/>
          <w:lang w:eastAsia="zh-CN"/>
        </w:rPr>
      </w:pPr>
      <w:r>
        <w:rPr>
          <w:rFonts w:hint="eastAsia"/>
          <w:b/>
          <w:sz w:val="24"/>
        </w:rPr>
        <w:t>联系电话</w:t>
      </w:r>
      <w:r>
        <w:rPr>
          <w:rFonts w:hint="eastAsia"/>
          <w:b/>
          <w:sz w:val="24"/>
          <w:lang w:eastAsia="zh-CN"/>
        </w:rPr>
        <w:t>：</w:t>
      </w:r>
    </w:p>
    <w:p w14:paraId="550FC785">
      <w:bookmarkStart w:id="0" w:name="_GoBack"/>
      <w:bookmarkEnd w:id="0"/>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073E848-F48A-479D-BC8E-5CFD76F9567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12079610-5AA6-4CE0-8754-4391A7CF8B8B}"/>
  </w:font>
  <w:font w:name="仿宋_GB2312">
    <w:panose1 w:val="02010609030101010101"/>
    <w:charset w:val="86"/>
    <w:family w:val="modern"/>
    <w:pitch w:val="default"/>
    <w:sig w:usb0="00000001" w:usb1="080E0000" w:usb2="00000000" w:usb3="00000000" w:csb0="00040000" w:csb1="00000000"/>
    <w:embedRegular r:id="rId3" w:fontKey="{45EFD0D4-F1E1-4259-9E37-A70F9717A8C2}"/>
  </w:font>
  <w:font w:name="方正小标宋_GBK">
    <w:panose1 w:val="02000000000000000000"/>
    <w:charset w:val="86"/>
    <w:family w:val="script"/>
    <w:pitch w:val="default"/>
    <w:sig w:usb0="00000001" w:usb1="080E0000" w:usb2="00000000" w:usb3="00000000" w:csb0="00040000" w:csb1="00000000"/>
    <w:embedRegular r:id="rId4" w:fontKey="{482FB34E-BCC0-4EF4-81E7-A187A492AD7C}"/>
  </w:font>
  <w:font w:name="楷体_GB2312">
    <w:panose1 w:val="02010609030101010101"/>
    <w:charset w:val="86"/>
    <w:family w:val="modern"/>
    <w:pitch w:val="default"/>
    <w:sig w:usb0="00000001" w:usb1="080E0000" w:usb2="00000000" w:usb3="00000000" w:csb0="00040000" w:csb1="00000000"/>
    <w:embedRegular r:id="rId5" w:fontKey="{3AE942A6-3ACB-4E27-81F0-7DDE87A450B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011316"/>
    <w:rsid w:val="020113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160" w:line="278" w:lineRule="auto"/>
    </w:pPr>
    <w:rPr>
      <w:rFonts w:ascii="仿宋_GB2312" w:hAnsi="Times New Roman" w:eastAsia="仿宋_GB2312" w:cs="仿宋_GB2312"/>
      <w:color w:val="000000"/>
      <w:sz w:val="24"/>
      <w:szCs w:val="24"/>
      <w:lang w:val="en-US" w:eastAsia="zh-CN" w:bidi="ar-SA"/>
    </w:rPr>
  </w:style>
  <w:style w:type="paragraph" w:styleId="5">
    <w:name w:val="List Paragraph"/>
    <w:basedOn w:val="1"/>
    <w:qFormat/>
    <w:uiPriority w:val="99"/>
    <w:pPr>
      <w:ind w:left="720"/>
      <w:contextualSpacing/>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2026-10-14T07:21:00Z</dcterms:created>
  <dc:creator>WY</dc:creator>
  <cp:lastModifiedBy>WY</cp:lastModifiedBy>
  <dcterms:modified xsi:type="dcterms:W3CDTF">2026-10-14T07:21:23Z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8BD39465F0ED4314AAC03BADCA7906ED_11</vt:lpwstr>
  </property>
  <property fmtid="{D5CDD505-2E9C-101B-9397-08002B2CF9AE}" pid="4" name="KSOTemplateDocerSaveRecord">
    <vt:lpwstr>eyJoZGlkIjoiZDE1NjkxYjMzMGEyY2I4NjUyMmM0ZjY5NjY3ZDM3ZmYiLCJ1c2VySWQiOiIxMjU3MjI0MzIyIn0=</vt:lpwstr>
  </property>
</Properties>
</file>